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03" w:rsidRPr="00427616" w:rsidRDefault="00B16503" w:rsidP="00017550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3C196F">
        <w:rPr>
          <w:rStyle w:val="9"/>
          <w:rFonts w:ascii="Times New Roman" w:hAnsi="Times New Roman"/>
          <w:b/>
          <w:color w:val="000000"/>
          <w:sz w:val="28"/>
          <w:szCs w:val="28"/>
          <w:lang w:val="uk-UA" w:eastAsia="uk-UA"/>
        </w:rPr>
        <w:t>ІНФОРМАЦІЯ</w:t>
      </w:r>
    </w:p>
    <w:p w:rsidR="00B16503" w:rsidRPr="003C196F" w:rsidRDefault="00B16503" w:rsidP="00E02306">
      <w:pPr>
        <w:pStyle w:val="BodyText"/>
        <w:spacing w:after="0"/>
        <w:jc w:val="center"/>
        <w:rPr>
          <w:rStyle w:val="a"/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C196F">
        <w:rPr>
          <w:rStyle w:val="a"/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щодо створення постійно діючої системи допомоги </w:t>
      </w:r>
    </w:p>
    <w:p w:rsidR="00B16503" w:rsidRPr="003C196F" w:rsidRDefault="00B16503" w:rsidP="00E02306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6"/>
          <w:shd w:val="clear" w:color="auto" w:fill="FFFFFF"/>
          <w:lang w:val="uk-UA" w:eastAsia="uk-UA"/>
        </w:rPr>
      </w:pPr>
      <w:r w:rsidRPr="003C196F">
        <w:rPr>
          <w:rStyle w:val="a"/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учасникам антитерористичної операції та членам їх родин</w:t>
      </w:r>
    </w:p>
    <w:p w:rsidR="00B16503" w:rsidRPr="00F12CFF" w:rsidRDefault="00B16503" w:rsidP="00017550">
      <w:pPr>
        <w:pStyle w:val="BodyText"/>
        <w:widowControl w:val="0"/>
        <w:tabs>
          <w:tab w:val="left" w:pos="736"/>
        </w:tabs>
        <w:spacing w:after="0"/>
        <w:ind w:left="20" w:right="20"/>
        <w:jc w:val="both"/>
        <w:rPr>
          <w:rStyle w:val="a"/>
          <w:rFonts w:ascii="Times New Roman" w:hAnsi="Times New Roman" w:cs="Times New Roman"/>
          <w:sz w:val="24"/>
          <w:szCs w:val="24"/>
          <w:lang w:val="uk-UA"/>
        </w:rPr>
      </w:pPr>
    </w:p>
    <w:p w:rsidR="00B16503" w:rsidRPr="00F12CFF" w:rsidRDefault="00B16503" w:rsidP="00017550">
      <w:pPr>
        <w:pStyle w:val="BodyText"/>
        <w:widowControl w:val="0"/>
        <w:numPr>
          <w:ilvl w:val="0"/>
          <w:numId w:val="3"/>
        </w:numPr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На виконання пункту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доручення П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рем'єр-міністра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України Яценюка А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Л. від 12.10.2015 № 41486/1/1-15 та протокольного доручення Президента України Порошенка П.О. від 08.10.2015 № І-1/873 в 24 областях України створено Центри допомоги учасникам антитерористичної операції.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Центри є допоміжними органами, які утворені з метою забезпечення взаємодії органів виконавчої влади, органів місцевого самоврядування, волонтерських та громадських організацій при вирішенні питань лікування, реабілітації, соціального захисту, адаптації військовослужбовців та працівників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військових та силових структур,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членів сімей таких осіб, також осіб, які брали участь в АТО у складі добровольчих батальйонів та членів їх сімей, волонтерів.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Всі Центри забезпечені приміщенням, здебільшого вони розмістились в приміщеннях облдержадміністрацій.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 складу Центрів увійшли працівники облдержадміністрацій, представники громадських об'єднань, волонтери, а також працівники територіальних секторів Служби.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Затверджено керівн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иків Центрів, окрім Запорізької,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Івано-Франківської. Кіровоградської, Львівської, Одеської, Харківської, Чернігівської та Чернівецької областей (в цих областях проходить громадське обговорення кандидатури керівника Центру).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Вже є перші результати роботи Центрів: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186"/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9pt"/>
          <w:color w:val="000000"/>
          <w:sz w:val="24"/>
          <w:szCs w:val="24"/>
          <w:lang w:val="uk-UA" w:eastAsia="uk-UA"/>
        </w:rPr>
        <w:t xml:space="preserve">в 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Запорізькій області вже </w:t>
      </w:r>
      <w:r w:rsidRPr="00DD002D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проанкетовано </w:t>
      </w:r>
      <w:r w:rsidRPr="00DD002D">
        <w:rPr>
          <w:rStyle w:val="20"/>
          <w:i w:val="0"/>
          <w:iCs w:val="0"/>
          <w:color w:val="000000"/>
          <w:sz w:val="24"/>
          <w:szCs w:val="24"/>
          <w:lang w:val="uk-UA" w:eastAsia="uk-UA"/>
        </w:rPr>
        <w:t>92</w:t>
      </w:r>
      <w:r w:rsidRPr="00DD002D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особи та на основі отриманих даних, </w:t>
      </w:r>
      <w:r w:rsidRPr="00DD002D">
        <w:rPr>
          <w:rStyle w:val="9pt"/>
          <w:color w:val="000000"/>
          <w:sz w:val="24"/>
          <w:szCs w:val="24"/>
          <w:lang w:val="uk-UA" w:eastAsia="uk-UA"/>
        </w:rPr>
        <w:t xml:space="preserve">а </w:t>
      </w:r>
      <w:r w:rsidRPr="00DD002D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також </w:t>
      </w:r>
      <w:r w:rsidRPr="00DD002D">
        <w:rPr>
          <w:rStyle w:val="9pt"/>
          <w:color w:val="000000"/>
          <w:sz w:val="24"/>
          <w:szCs w:val="24"/>
          <w:lang w:val="uk-UA" w:eastAsia="uk-UA"/>
        </w:rPr>
        <w:t xml:space="preserve">за </w:t>
      </w:r>
      <w:r w:rsidRPr="00DD002D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інформацією </w:t>
      </w:r>
      <w:r w:rsidRPr="00DD002D">
        <w:rPr>
          <w:rStyle w:val="9pt"/>
          <w:color w:val="000000"/>
          <w:sz w:val="24"/>
          <w:szCs w:val="24"/>
          <w:lang w:val="uk-UA" w:eastAsia="uk-UA"/>
        </w:rPr>
        <w:t xml:space="preserve">від </w:t>
      </w:r>
      <w:r w:rsidRPr="00DD002D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обласного </w:t>
      </w:r>
      <w:r w:rsidRPr="00DD002D">
        <w:rPr>
          <w:rStyle w:val="9pt"/>
          <w:color w:val="000000"/>
          <w:sz w:val="24"/>
          <w:szCs w:val="24"/>
          <w:lang w:val="uk-UA" w:eastAsia="uk-UA"/>
        </w:rPr>
        <w:t xml:space="preserve">військового </w:t>
      </w:r>
      <w:r w:rsidRPr="00DD002D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комісаріату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соціальних служб, органів місцевого самоврядування розробляється єдина база даних соціально-побутових проблем і потреб учасників АТО;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207"/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 Чернігівській області з перевізниками вирішено питання безкоштовного проїзду в громадському транспорті членів родин військовослужбовців, які загинули в АТО;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186"/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 Кіровоградській обла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сті створено електронну базу дан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их демобілізованих учасників АТО та родин загиблих учасників АТО;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157"/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 Житомирській області зареєстрова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 1054 звернення учасників АТО,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з яких вирішено 647 звернень по суті.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 облдержадміністраціях (райдержадміністраціях, міськвиконкомах) працюють „гарячі лінії” для консультацій учасників АТО та їх сімей.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Інформація про роботу Центрів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висвітлюється в регіональних З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МІ та сайтах облдержадміністрацій.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Окремо слід зазначити, що у м. Києві розпорядженням міського голови утворено Координаційну </w:t>
      </w:r>
      <w:r w:rsidRPr="00F12CFF">
        <w:rPr>
          <w:rStyle w:val="10"/>
          <w:color w:val="000000"/>
          <w:sz w:val="24"/>
          <w:szCs w:val="24"/>
          <w:lang w:val="uk-UA" w:eastAsia="uk-UA"/>
        </w:rPr>
        <w:t xml:space="preserve">раду з 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питань підтримки киян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які беруть участь в антитерори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стичній операції у східних областя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х України, та тимчасово переміщ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ених осіб із зони антитерористичної операції. Так, Київська міська рада (Київська міська державна адміністрація) вважає за доцільне об'єднати під поняттям „Центру допомоги учас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никам антитерористичної операції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Style w:val="8"/>
          <w:color w:val="000000"/>
          <w:sz w:val="24"/>
          <w:szCs w:val="24"/>
          <w:lang w:val="uk-UA" w:eastAsia="uk-UA"/>
        </w:rPr>
        <w:t>і</w:t>
      </w:r>
      <w:r w:rsidRPr="00F12CFF">
        <w:rPr>
          <w:rStyle w:val="8"/>
          <w:color w:val="000000"/>
          <w:sz w:val="24"/>
          <w:szCs w:val="24"/>
          <w:lang w:val="uk-UA" w:eastAsia="uk-UA"/>
        </w:rPr>
        <w:t xml:space="preserve">снуючі 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допоміжні (робочі) органи без створення окремої структурної одиниці, долучивши до вищезазначеної Координаційної ради: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робочу групу з опрацювання питання соціального </w:t>
      </w:r>
      <w:r w:rsidRPr="00F12CFF">
        <w:rPr>
          <w:rStyle w:val="8"/>
          <w:color w:val="000000"/>
          <w:sz w:val="24"/>
          <w:szCs w:val="24"/>
          <w:lang w:val="uk-UA" w:eastAsia="uk-UA"/>
        </w:rPr>
        <w:t xml:space="preserve">захисту киян - 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учасників антитерористичної операції, членів їх сімей та </w:t>
      </w:r>
      <w:r>
        <w:rPr>
          <w:rStyle w:val="8"/>
          <w:color w:val="000000"/>
          <w:sz w:val="24"/>
          <w:szCs w:val="24"/>
          <w:lang w:val="uk-UA" w:eastAsia="uk-UA"/>
        </w:rPr>
        <w:t>членів сімей,</w:t>
      </w:r>
      <w:r w:rsidRPr="00F12CFF">
        <w:rPr>
          <w:rStyle w:val="8"/>
          <w:color w:val="000000"/>
          <w:sz w:val="24"/>
          <w:szCs w:val="24"/>
          <w:lang w:val="uk-UA" w:eastAsia="uk-UA"/>
        </w:rPr>
        <w:t xml:space="preserve"> які 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загинули під час проведення АТО на сході;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686"/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інформаційний центр для інформування осіб, які постраждали під час виконання обов'язків військової служби (службових обов'язків), та членів їх сімей, а також членів сімей за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гиблих військовослужбовців і пра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цівників правоохоронних органів про їх права та гарантії реалізації таких прав;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648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раду волонтерів при Київському міському голові.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3"/>
        </w:numPr>
        <w:tabs>
          <w:tab w:val="left" w:pos="783"/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Відповідно до постанови Кабіне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ту Міністрів України від 15 черв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ня 2015 р. № 395 “Деякі питання діяльності Державної служби у справах ветеранів війни та учасників антитерористичної операції” Службою утворено територіальні органи як структурні підрозділи апарату Служби. Сектори створюються в кожній області України і безпосередньо підпорядковуються Голові Служби. Діяльність сектору координує і сприяє йому у виконанні покладених на Сектор завдань голова обласної державної адміністрації.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Територіальні органи Служби зокрема: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координують здійснення державними органами виконавчої влади та місцевого самоврядування на території області заходів з питань соціального захисту ветеранів війни та учасників АТО, надання їм пільг і гарантій, визначених законодавством, їх соціальної та професійної адаптації;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679"/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беруть участь у збиранні й аналізі інформації на території області про потребу у забезпеченні ветеранів війни санаторно-курортним лікуванням, технічними та іншими засобами реабілітації для учасників АТО, у проходженні учасниками АТО психологічної реабілітації, забезпеченні житлом учасників бойових дій, які набули інвалідності під час участі в антитерористичній операції;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668"/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здійснюють в межах компетенції монітор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инг і контроль за реалізацією на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регіональному рів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ні цільових бюджетних програм, відповідаль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ним виконавцем яких є Служба, та подають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 розгляд Голові Служби пропоз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ц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ії щодо вдосконалення роботи з їх реалізації.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 сьогодні територіальні органи розпочали роботу майже у всіх регіонах України, за виключенням Івано-Франківської, Луганської та Рівненської областей. Наразі триває робота з вирішення питання розміщення секторів, їх матеріально-технічного забезпечення, підбору кадрів.</w:t>
      </w:r>
    </w:p>
    <w:p w:rsidR="00B16503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Новостворені територіальні органи Служби активно включилися в роботу зі створення і функціонування регіональних центрів допомоги учасникам АТО, беруть активну участь у всіх заходах, що проводяться на регіональному рівні, активно співпрацюють з громадським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організаціями учасників АТО та займаються вирішенням конкретних проблем учасників АТО в області.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3. 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 поточному році реалізація бюджетної програми психологічної реабілітації здійснюється відповідно до постанови Кабінету Міністрів України від 31 березня 2015 р. № 221 "Про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затвердження Порядку використання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коштів, передбачених у державному бюджеті для здійснення зах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одів щодо 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психологічної реабілітації постраждалих учасників антитерористичної операції”. Закупівля послуг з психологічн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ої реабілітації здійснює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ться Службою відповідно до Закону України “Про здійснення державних закупівель". За результатами конкурсних торгів Службою укладено договори про психологічну реабілітацію 5750 учасників АТО з 4 реабілітаційними установами, а саме: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74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м. Київ («Санаторій «Феофанія»);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66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Одеська обл. (Санаторій «Орізонт»);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66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Харківська обл. (Санаторій «Курорт Березівські мінеральні води»);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66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Чернігівська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/>
        </w:rPr>
        <w:t>обл. (Менськ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ий 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санаторій «Остреч»).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Ці установи здійснюють психологічну реабілітацію учасників АТО з усієї України. Комплекс заходів з психологічної реабілітації учасників АТО в цих установах передбачає: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66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індивідуальне консультування;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66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групову роботу;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74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психологічну просвіту;</w:t>
      </w:r>
    </w:p>
    <w:p w:rsidR="00B16503" w:rsidRPr="00427616" w:rsidRDefault="00B16503" w:rsidP="00017550">
      <w:pPr>
        <w:pStyle w:val="90"/>
        <w:numPr>
          <w:ilvl w:val="0"/>
          <w:numId w:val="4"/>
        </w:numPr>
        <w:shd w:val="clear" w:color="auto" w:fill="auto"/>
        <w:tabs>
          <w:tab w:val="left" w:pos="566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27616">
        <w:rPr>
          <w:rStyle w:val="9"/>
          <w:rFonts w:ascii="Times New Roman" w:hAnsi="Times New Roman"/>
          <w:color w:val="000000"/>
          <w:sz w:val="24"/>
          <w:szCs w:val="24"/>
          <w:lang w:val="uk-UA" w:eastAsia="uk-UA"/>
        </w:rPr>
        <w:t>фізичну реабілітацію;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66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соціокультурну реабілітацію.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Крім того, психологічну реабілітацію різних категорій населення, у тому числі учасників АТО та членів їх сімей,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здійснюють 5 центрів соціально-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психологічної реабілітації населення та його інформування з питань подолання наслідків Чорнобильської катастрофи, які належать до сфери управління Служби: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59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Київській області (смт.Бородянка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м.Боярка,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 Іванків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м.Славутич);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45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 Житомирській області (м. Коростень).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Соціально-психологічна допомога учасникам АТО і членам їх сімей передбачає: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66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ндивідуальне та сімейне консультування;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66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групову роботу;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74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інформаційно-просвітницьку роботу;</w:t>
      </w:r>
    </w:p>
    <w:p w:rsidR="00B16503" w:rsidRPr="00427616" w:rsidRDefault="00B16503" w:rsidP="00017550">
      <w:pPr>
        <w:pStyle w:val="90"/>
        <w:numPr>
          <w:ilvl w:val="0"/>
          <w:numId w:val="4"/>
        </w:numPr>
        <w:shd w:val="clear" w:color="auto" w:fill="auto"/>
        <w:tabs>
          <w:tab w:val="left" w:pos="574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27616">
        <w:rPr>
          <w:rStyle w:val="9"/>
          <w:rFonts w:ascii="Times New Roman" w:hAnsi="Times New Roman"/>
          <w:color w:val="000000"/>
          <w:sz w:val="24"/>
          <w:szCs w:val="24"/>
          <w:lang w:val="uk-UA" w:eastAsia="uk-UA"/>
        </w:rPr>
        <w:t>юридично-правову допомогу;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46"/>
          <w:tab w:val="left" w:pos="900"/>
        </w:tabs>
        <w:spacing w:after="0"/>
        <w:ind w:right="56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виїзну роботу (мобільні групи у військових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частинах, госпіталях, за місцем   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проживання);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59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масові заход</w:t>
      </w: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и;</w:t>
      </w:r>
    </w:p>
    <w:p w:rsidR="00B16503" w:rsidRPr="00427616" w:rsidRDefault="00B16503" w:rsidP="00017550">
      <w:pPr>
        <w:pStyle w:val="90"/>
        <w:numPr>
          <w:ilvl w:val="0"/>
          <w:numId w:val="4"/>
        </w:numPr>
        <w:shd w:val="clear" w:color="auto" w:fill="auto"/>
        <w:tabs>
          <w:tab w:val="left" w:pos="559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427616">
        <w:rPr>
          <w:rStyle w:val="9"/>
          <w:rFonts w:ascii="Times New Roman" w:hAnsi="Times New Roman"/>
          <w:color w:val="000000"/>
          <w:sz w:val="24"/>
          <w:szCs w:val="24"/>
          <w:lang w:val="uk-UA" w:eastAsia="uk-UA"/>
        </w:rPr>
        <w:t>фізичну реабілітацію;</w:t>
      </w:r>
    </w:p>
    <w:p w:rsidR="00B16503" w:rsidRPr="00F12CFF" w:rsidRDefault="00B16503" w:rsidP="00017550">
      <w:pPr>
        <w:pStyle w:val="BodyText"/>
        <w:widowControl w:val="0"/>
        <w:numPr>
          <w:ilvl w:val="0"/>
          <w:numId w:val="4"/>
        </w:numPr>
        <w:tabs>
          <w:tab w:val="left" w:pos="559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соціальний супровід родин.</w:t>
      </w:r>
    </w:p>
    <w:p w:rsidR="00B16503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12CFF">
        <w:rPr>
          <w:rStyle w:val="a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Крім того, на регіональному та місцевому рівні послуги з психологічної реабілітації учасникам АТО надаються лікувальними, санаторно-курортними закладами, їх структурними підрозділами, що знаходяться на території областей, за зверненням та показаннями. За інформацією, наданою обласними державними адміністраціями, психологічна реабілітація учасників антитерористичної операції здійснюється 164 діючими установами і закладами охорони здоров'я та соціального захисту.</w:t>
      </w:r>
    </w:p>
    <w:p w:rsidR="00B16503" w:rsidRPr="00F12CFF" w:rsidRDefault="00B16503" w:rsidP="00017550">
      <w:pPr>
        <w:pStyle w:val="BodyText"/>
        <w:tabs>
          <w:tab w:val="left" w:pos="900"/>
        </w:tabs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ind w:right="320"/>
        <w:rPr>
          <w:rStyle w:val="9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C196F">
        <w:rPr>
          <w:rStyle w:val="9"/>
          <w:rFonts w:ascii="Times New Roman" w:hAnsi="Times New Roman"/>
          <w:b/>
          <w:color w:val="000000"/>
          <w:sz w:val="28"/>
          <w:szCs w:val="28"/>
          <w:lang w:val="uk-UA" w:eastAsia="uk-UA"/>
        </w:rPr>
        <w:t>Інформація про центри соціально-психологічної реабілітації населення та його інформування з питань подолання наслідків Чорнобильської катастрофи</w:t>
      </w: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ind w:right="320"/>
        <w:rPr>
          <w:rStyle w:val="9"/>
          <w:b/>
          <w:color w:val="000000"/>
          <w:sz w:val="28"/>
          <w:szCs w:val="28"/>
          <w:lang w:val="uk-UA" w:eastAsia="uk-U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423"/>
        <w:gridCol w:w="2520"/>
        <w:gridCol w:w="2700"/>
      </w:tblGrid>
      <w:tr w:rsidR="00B16503" w:rsidRPr="006D444A" w:rsidTr="00411851">
        <w:tc>
          <w:tcPr>
            <w:tcW w:w="717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B16503" w:rsidRPr="00411851" w:rsidRDefault="00B16503" w:rsidP="00411851">
            <w:pPr>
              <w:pStyle w:val="BodyText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423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установи</w:t>
            </w:r>
          </w:p>
        </w:tc>
        <w:tc>
          <w:tcPr>
            <w:tcW w:w="252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Адреса,</w:t>
            </w:r>
          </w:p>
        </w:tc>
        <w:tc>
          <w:tcPr>
            <w:tcW w:w="270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Телефон, електронна адреса</w:t>
            </w:r>
          </w:p>
        </w:tc>
      </w:tr>
      <w:tr w:rsidR="00B16503" w:rsidRPr="006D444A" w:rsidTr="00411851">
        <w:tc>
          <w:tcPr>
            <w:tcW w:w="717" w:type="dxa"/>
            <w:shd w:val="clear" w:color="000000" w:fill="auto"/>
          </w:tcPr>
          <w:p w:rsidR="00B16503" w:rsidRPr="00411851" w:rsidRDefault="00B16503" w:rsidP="00411851">
            <w:pPr>
              <w:pStyle w:val="9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40" w:right="6" w:hanging="170"/>
              <w:rPr>
                <w:rStyle w:val="9"/>
                <w:sz w:val="24"/>
                <w:szCs w:val="24"/>
                <w:lang w:val="uk-UA" w:eastAsia="uk-UA"/>
              </w:rPr>
            </w:pPr>
          </w:p>
        </w:tc>
        <w:tc>
          <w:tcPr>
            <w:tcW w:w="3423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Бородянський центр соціально-психологічної реабілітації населення та його інформування з питань подолання наслідків Чорнобильської катастрофи</w:t>
            </w:r>
          </w:p>
        </w:tc>
        <w:tc>
          <w:tcPr>
            <w:tcW w:w="252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07800, Київська область, Бородянський район, смт. Бородянка,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Леніна, буд. 228</w:t>
            </w:r>
          </w:p>
        </w:tc>
        <w:tc>
          <w:tcPr>
            <w:tcW w:w="270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тел.(04477)52-002,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53-050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411851">
                <w:rPr>
                  <w:rStyle w:val="Hyperlink"/>
                  <w:rFonts w:cs="Arial"/>
                  <w:lang w:val="uk-UA" w:eastAsia="en-US"/>
                </w:rPr>
                <w:t>http://bo</w:t>
              </w:r>
              <w:r w:rsidRPr="00411851">
                <w:rPr>
                  <w:rStyle w:val="Hyperlink"/>
                  <w:rFonts w:cs="Arial"/>
                  <w:lang w:val="en-US" w:eastAsia="en-US"/>
                </w:rPr>
                <w:t>rodyanka</w:t>
              </w:r>
              <w:r w:rsidRPr="00411851">
                <w:rPr>
                  <w:rStyle w:val="Hyperlink"/>
                  <w:rFonts w:cs="Arial"/>
                  <w:lang w:val="uk-UA" w:eastAsia="en-US"/>
                </w:rPr>
                <w:t>.cs</w:t>
              </w:r>
              <w:r w:rsidRPr="00411851">
                <w:rPr>
                  <w:rStyle w:val="Hyperlink"/>
                  <w:rFonts w:cs="Arial"/>
                  <w:lang w:val="en-US" w:eastAsia="en-US"/>
                </w:rPr>
                <w:t>pr</w:t>
              </w:r>
              <w:r w:rsidRPr="00411851">
                <w:rPr>
                  <w:rStyle w:val="Hyperlink"/>
                  <w:rFonts w:cs="Arial"/>
                  <w:lang w:val="uk-UA" w:eastAsia="en-US"/>
                </w:rPr>
                <w:t>.</w:t>
              </w:r>
              <w:r w:rsidRPr="00411851">
                <w:rPr>
                  <w:rStyle w:val="Hyperlink"/>
                  <w:rFonts w:cs="Arial"/>
                  <w:lang w:val="en-US" w:eastAsia="en-US"/>
                </w:rPr>
                <w:t>info</w:t>
              </w:r>
            </w:hyperlink>
          </w:p>
        </w:tc>
      </w:tr>
      <w:tr w:rsidR="00B16503" w:rsidRPr="006D444A" w:rsidTr="00411851">
        <w:tc>
          <w:tcPr>
            <w:tcW w:w="717" w:type="dxa"/>
            <w:shd w:val="clear" w:color="000000" w:fill="auto"/>
          </w:tcPr>
          <w:p w:rsidR="00B16503" w:rsidRPr="00411851" w:rsidRDefault="00B16503" w:rsidP="00411851">
            <w:pPr>
              <w:pStyle w:val="9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40" w:right="6" w:hanging="170"/>
              <w:rPr>
                <w:rStyle w:val="9"/>
                <w:sz w:val="24"/>
                <w:szCs w:val="24"/>
                <w:lang w:val="uk-UA" w:eastAsia="uk-UA"/>
              </w:rPr>
            </w:pPr>
          </w:p>
        </w:tc>
        <w:tc>
          <w:tcPr>
            <w:tcW w:w="3423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Іванківський центр соціально- психологічної реабілітації населення та його інформування з питань подолання наслідків Чорнобильської катастрофи</w:t>
            </w:r>
          </w:p>
        </w:tc>
        <w:tc>
          <w:tcPr>
            <w:tcW w:w="252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0720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Київська область,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Іванківськнй район, смт Іванків,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Поліська,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буд. 65-а</w:t>
            </w:r>
          </w:p>
        </w:tc>
        <w:tc>
          <w:tcPr>
            <w:tcW w:w="270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Style w:val="82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411851">
              <w:rPr>
                <w:rStyle w:val="82"/>
                <w:sz w:val="24"/>
                <w:szCs w:val="24"/>
                <w:lang w:val="uk-UA" w:eastAsia="uk-UA"/>
              </w:rPr>
              <w:t>(04491)52-646</w:t>
            </w:r>
            <w:r w:rsidRPr="00411851">
              <w:rPr>
                <w:rStyle w:val="82"/>
                <w:sz w:val="24"/>
                <w:szCs w:val="24"/>
                <w:lang w:val="ru-RU" w:eastAsia="uk-UA"/>
              </w:rPr>
              <w:t>,</w:t>
            </w:r>
            <w:r w:rsidRPr="00411851">
              <w:rPr>
                <w:rStyle w:val="82"/>
                <w:sz w:val="24"/>
                <w:szCs w:val="24"/>
                <w:lang w:val="uk-UA" w:eastAsia="uk-UA"/>
              </w:rPr>
              <w:t xml:space="preserve"> 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52-7</w:t>
            </w:r>
            <w:r w:rsidRPr="004118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1185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http://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ivankiv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.cs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pr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info</w:t>
              </w:r>
            </w:hyperlink>
          </w:p>
        </w:tc>
      </w:tr>
      <w:tr w:rsidR="00B16503" w:rsidRPr="006D444A" w:rsidTr="00411851">
        <w:tc>
          <w:tcPr>
            <w:tcW w:w="717" w:type="dxa"/>
            <w:shd w:val="clear" w:color="000000" w:fill="auto"/>
          </w:tcPr>
          <w:p w:rsidR="00B16503" w:rsidRPr="00411851" w:rsidRDefault="00B16503" w:rsidP="00411851">
            <w:pPr>
              <w:pStyle w:val="9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40" w:right="6" w:hanging="170"/>
              <w:rPr>
                <w:rStyle w:val="9"/>
                <w:sz w:val="24"/>
                <w:szCs w:val="24"/>
                <w:lang w:val="uk-UA" w:eastAsia="uk-UA"/>
              </w:rPr>
            </w:pPr>
          </w:p>
        </w:tc>
        <w:tc>
          <w:tcPr>
            <w:tcW w:w="3423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Києво-Святошинський центр соціально-психологічної реабілітації населення та його інформування з питань подолання наслідків Чорнобильської катастрофи</w:t>
            </w:r>
          </w:p>
        </w:tc>
        <w:tc>
          <w:tcPr>
            <w:tcW w:w="252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08150, Київська обл.,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Києво-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Святошинський район,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Боярка,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Хрещатик,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буд. 83</w:t>
            </w:r>
          </w:p>
        </w:tc>
        <w:tc>
          <w:tcPr>
            <w:tcW w:w="270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41185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(04598)46-851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http://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boyarka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.cs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pr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info</w:t>
              </w:r>
            </w:hyperlink>
          </w:p>
        </w:tc>
      </w:tr>
      <w:tr w:rsidR="00B16503" w:rsidRPr="006D444A" w:rsidTr="00411851">
        <w:tc>
          <w:tcPr>
            <w:tcW w:w="717" w:type="dxa"/>
            <w:shd w:val="clear" w:color="000000" w:fill="auto"/>
          </w:tcPr>
          <w:p w:rsidR="00B16503" w:rsidRPr="00411851" w:rsidRDefault="00B16503" w:rsidP="00411851">
            <w:pPr>
              <w:pStyle w:val="9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40" w:right="6" w:hanging="170"/>
              <w:rPr>
                <w:rStyle w:val="9"/>
                <w:sz w:val="24"/>
                <w:szCs w:val="24"/>
                <w:lang w:val="uk-UA" w:eastAsia="uk-UA"/>
              </w:rPr>
            </w:pPr>
          </w:p>
        </w:tc>
        <w:tc>
          <w:tcPr>
            <w:tcW w:w="3423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Соціально-психологічний центр м. Славутич</w:t>
            </w:r>
          </w:p>
        </w:tc>
        <w:tc>
          <w:tcPr>
            <w:tcW w:w="252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07100 Київська область,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м. Славутич,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77-ї Гвардійської дивізії, 3-А</w:t>
            </w:r>
          </w:p>
        </w:tc>
        <w:tc>
          <w:tcPr>
            <w:tcW w:w="270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тел.(04579)294-12,</w:t>
            </w:r>
          </w:p>
          <w:p w:rsidR="00B16503" w:rsidRPr="00411851" w:rsidRDefault="00B16503" w:rsidP="00411851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215-80,294-21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http://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slavspc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ai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ua</w:t>
              </w:r>
            </w:hyperlink>
          </w:p>
        </w:tc>
      </w:tr>
      <w:tr w:rsidR="00B16503" w:rsidRPr="006D444A" w:rsidTr="00411851">
        <w:tc>
          <w:tcPr>
            <w:tcW w:w="717" w:type="dxa"/>
            <w:shd w:val="clear" w:color="000000" w:fill="auto"/>
          </w:tcPr>
          <w:p w:rsidR="00B16503" w:rsidRPr="00411851" w:rsidRDefault="00B16503" w:rsidP="00411851">
            <w:pPr>
              <w:pStyle w:val="90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40" w:right="6" w:hanging="170"/>
              <w:rPr>
                <w:rStyle w:val="9"/>
                <w:sz w:val="24"/>
                <w:szCs w:val="24"/>
                <w:lang w:val="uk-UA" w:eastAsia="uk-UA"/>
              </w:rPr>
            </w:pPr>
          </w:p>
        </w:tc>
        <w:tc>
          <w:tcPr>
            <w:tcW w:w="3423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 соціально- психологічної реабілітації населення та його інформування з питань подолання наслідків Чорнобильської катастрофи (м. Коростень)</w:t>
            </w:r>
          </w:p>
        </w:tc>
        <w:tc>
          <w:tcPr>
            <w:tcW w:w="252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11500, Житомирська область,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м. Коростень,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Пролетарська, буд. 3</w:t>
            </w:r>
          </w:p>
        </w:tc>
        <w:tc>
          <w:tcPr>
            <w:tcW w:w="270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1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Pr="0041185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(04142)451-00</w:t>
            </w:r>
            <w:r w:rsidRPr="00411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223-60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http://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korosten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cspr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Pr="00411851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info</w:t>
              </w:r>
            </w:hyperlink>
          </w:p>
        </w:tc>
      </w:tr>
    </w:tbl>
    <w:p w:rsidR="00B16503" w:rsidRPr="00F12CFF" w:rsidRDefault="00B16503" w:rsidP="00427616">
      <w:pPr>
        <w:pStyle w:val="90"/>
        <w:shd w:val="clear" w:color="auto" w:fill="auto"/>
        <w:spacing w:after="0" w:line="240" w:lineRule="auto"/>
        <w:ind w:right="320"/>
        <w:jc w:val="left"/>
        <w:rPr>
          <w:sz w:val="24"/>
          <w:szCs w:val="24"/>
          <w:lang w:val="uk-UA"/>
        </w:rPr>
      </w:pP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ind w:right="60"/>
        <w:rPr>
          <w:rStyle w:val="9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ind w:right="60"/>
        <w:rPr>
          <w:rStyle w:val="9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ind w:right="60"/>
        <w:rPr>
          <w:rStyle w:val="9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ind w:right="60"/>
        <w:rPr>
          <w:rStyle w:val="9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ind w:right="60"/>
        <w:rPr>
          <w:rStyle w:val="9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ind w:right="60"/>
        <w:rPr>
          <w:rStyle w:val="9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ind w:right="60"/>
        <w:rPr>
          <w:rStyle w:val="9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ind w:right="60"/>
        <w:rPr>
          <w:rStyle w:val="9"/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6503" w:rsidRPr="003C196F" w:rsidRDefault="00B16503" w:rsidP="00017550">
      <w:pPr>
        <w:pStyle w:val="90"/>
        <w:shd w:val="clear" w:color="auto" w:fill="auto"/>
        <w:spacing w:after="0" w:line="240" w:lineRule="auto"/>
        <w:ind w:right="60"/>
        <w:rPr>
          <w:rStyle w:val="9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C196F">
        <w:rPr>
          <w:rStyle w:val="9"/>
          <w:rFonts w:ascii="Times New Roman" w:hAnsi="Times New Roman"/>
          <w:b/>
          <w:color w:val="000000"/>
          <w:sz w:val="28"/>
          <w:szCs w:val="28"/>
          <w:lang w:val="uk-UA" w:eastAsia="uk-UA"/>
        </w:rPr>
        <w:t>Інформація про реабілітаційні установи, які здійснюють психологічну реабілітацію учасників антнтерористичної операції, з якими Службою укладено договори про закупівлю за державні кошти</w:t>
      </w:r>
    </w:p>
    <w:p w:rsidR="00B16503" w:rsidRPr="00C81203" w:rsidRDefault="00B16503" w:rsidP="00017550">
      <w:pPr>
        <w:pStyle w:val="90"/>
        <w:shd w:val="clear" w:color="auto" w:fill="auto"/>
        <w:spacing w:after="0" w:line="240" w:lineRule="auto"/>
        <w:ind w:right="60"/>
        <w:rPr>
          <w:rStyle w:val="9"/>
          <w:color w:val="000000"/>
          <w:sz w:val="24"/>
          <w:szCs w:val="24"/>
          <w:lang w:val="uk-UA" w:eastAsia="uk-U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3423"/>
        <w:gridCol w:w="2520"/>
        <w:gridCol w:w="2700"/>
      </w:tblGrid>
      <w:tr w:rsidR="00B16503" w:rsidRPr="006D444A" w:rsidTr="00411851">
        <w:tc>
          <w:tcPr>
            <w:tcW w:w="717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B16503" w:rsidRPr="00411851" w:rsidRDefault="00B16503" w:rsidP="00411851">
            <w:pPr>
              <w:pStyle w:val="BodyText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423" w:type="dxa"/>
            <w:shd w:val="clear" w:color="000000" w:fill="auto"/>
            <w:vAlign w:val="center"/>
          </w:tcPr>
          <w:p w:rsidR="00B16503" w:rsidRPr="00411851" w:rsidRDefault="00B16503" w:rsidP="00411851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установи</w:t>
            </w:r>
          </w:p>
        </w:tc>
        <w:tc>
          <w:tcPr>
            <w:tcW w:w="2520" w:type="dxa"/>
            <w:shd w:val="clear" w:color="000000" w:fill="auto"/>
            <w:vAlign w:val="center"/>
          </w:tcPr>
          <w:p w:rsidR="00B16503" w:rsidRPr="00411851" w:rsidRDefault="00B16503" w:rsidP="00411851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Адреса</w:t>
            </w:r>
          </w:p>
        </w:tc>
        <w:tc>
          <w:tcPr>
            <w:tcW w:w="2700" w:type="dxa"/>
            <w:shd w:val="clear" w:color="000000" w:fill="auto"/>
            <w:vAlign w:val="center"/>
          </w:tcPr>
          <w:p w:rsidR="00B16503" w:rsidRPr="00411851" w:rsidRDefault="00B16503" w:rsidP="00411851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Телефон, електронна адреса</w:t>
            </w:r>
          </w:p>
        </w:tc>
      </w:tr>
      <w:tr w:rsidR="00B16503" w:rsidRPr="006D444A" w:rsidTr="00411851">
        <w:tc>
          <w:tcPr>
            <w:tcW w:w="717" w:type="dxa"/>
            <w:shd w:val="clear" w:color="000000" w:fill="auto"/>
          </w:tcPr>
          <w:p w:rsidR="00B16503" w:rsidRPr="00411851" w:rsidRDefault="00B16503" w:rsidP="00411851">
            <w:pPr>
              <w:pStyle w:val="9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6"/>
              <w:rPr>
                <w:rStyle w:val="9"/>
                <w:sz w:val="24"/>
                <w:szCs w:val="24"/>
                <w:lang w:val="uk-UA" w:eastAsia="uk-UA"/>
              </w:rPr>
            </w:pPr>
          </w:p>
        </w:tc>
        <w:tc>
          <w:tcPr>
            <w:tcW w:w="3423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ДП "Клінічний санаторій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“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Курорт Березівські мінеральні води” ЗАТ “Укрпрофздоровниця”</w:t>
            </w:r>
          </w:p>
        </w:tc>
        <w:tc>
          <w:tcPr>
            <w:tcW w:w="252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62363, Харківська область,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Дергач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івський район, с. Березівське</w:t>
            </w:r>
          </w:p>
        </w:tc>
        <w:tc>
          <w:tcPr>
            <w:tcW w:w="270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(057)700-33- 16,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факс (057)712-20- 27</w:t>
            </w:r>
          </w:p>
        </w:tc>
      </w:tr>
      <w:tr w:rsidR="00B16503" w:rsidRPr="006D444A" w:rsidTr="00411851">
        <w:tc>
          <w:tcPr>
            <w:tcW w:w="717" w:type="dxa"/>
            <w:shd w:val="clear" w:color="000000" w:fill="auto"/>
          </w:tcPr>
          <w:p w:rsidR="00B16503" w:rsidRPr="00411851" w:rsidRDefault="00B16503" w:rsidP="00411851">
            <w:pPr>
              <w:pStyle w:val="9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6"/>
              <w:rPr>
                <w:rStyle w:val="9"/>
                <w:sz w:val="24"/>
                <w:szCs w:val="24"/>
                <w:lang w:val="uk-UA" w:eastAsia="uk-UA"/>
              </w:rPr>
            </w:pPr>
          </w:p>
        </w:tc>
        <w:tc>
          <w:tcPr>
            <w:tcW w:w="3423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ДП “Південь-Курорт-Сервіс” санаторій “Орізонт”</w:t>
            </w:r>
          </w:p>
        </w:tc>
        <w:tc>
          <w:tcPr>
            <w:tcW w:w="252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67780, Одеська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обл.,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Білгород-Дністровський р-н, смт. Сергіївка, 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Гагаріна, буд. 1а</w:t>
            </w:r>
          </w:p>
        </w:tc>
        <w:tc>
          <w:tcPr>
            <w:tcW w:w="270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тел.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(04849) 4-87-10, 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4-88-41,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факс (04849) 4-88-41</w:t>
            </w:r>
          </w:p>
        </w:tc>
      </w:tr>
      <w:tr w:rsidR="00B16503" w:rsidRPr="006D444A" w:rsidTr="00411851">
        <w:tc>
          <w:tcPr>
            <w:tcW w:w="717" w:type="dxa"/>
            <w:shd w:val="clear" w:color="000000" w:fill="auto"/>
          </w:tcPr>
          <w:p w:rsidR="00B16503" w:rsidRPr="00411851" w:rsidRDefault="00B16503" w:rsidP="00411851">
            <w:pPr>
              <w:pStyle w:val="9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6"/>
              <w:rPr>
                <w:rStyle w:val="9"/>
                <w:sz w:val="24"/>
                <w:szCs w:val="24"/>
                <w:lang w:val="uk-UA" w:eastAsia="uk-UA"/>
              </w:rPr>
            </w:pPr>
          </w:p>
        </w:tc>
        <w:tc>
          <w:tcPr>
            <w:tcW w:w="3423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ТОВ “Санаторій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“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Феофанія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”</w:t>
            </w:r>
          </w:p>
        </w:tc>
        <w:tc>
          <w:tcPr>
            <w:tcW w:w="252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03143, м. Київ,</w:t>
            </w:r>
          </w:p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Голосіївський район, вул. Академіка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Лебедева,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буд. 27</w:t>
            </w:r>
          </w:p>
        </w:tc>
        <w:tc>
          <w:tcPr>
            <w:tcW w:w="270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тел.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(044) 469-56-71, 526-71-12</w:t>
            </w:r>
          </w:p>
        </w:tc>
      </w:tr>
      <w:tr w:rsidR="00B16503" w:rsidRPr="006D444A" w:rsidTr="00411851">
        <w:tc>
          <w:tcPr>
            <w:tcW w:w="717" w:type="dxa"/>
            <w:shd w:val="clear" w:color="000000" w:fill="auto"/>
          </w:tcPr>
          <w:p w:rsidR="00B16503" w:rsidRPr="00411851" w:rsidRDefault="00B16503" w:rsidP="00411851">
            <w:pPr>
              <w:pStyle w:val="9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6"/>
              <w:rPr>
                <w:rStyle w:val="9"/>
                <w:sz w:val="24"/>
                <w:szCs w:val="24"/>
                <w:lang w:val="uk-UA" w:eastAsia="uk-UA"/>
              </w:rPr>
            </w:pPr>
          </w:p>
        </w:tc>
        <w:tc>
          <w:tcPr>
            <w:tcW w:w="3423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Менський санаторій “Остреч”</w:t>
            </w:r>
          </w:p>
        </w:tc>
        <w:tc>
          <w:tcPr>
            <w:tcW w:w="252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15600, Чернігівська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обл.,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Менський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р-н, 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Мена, </w:t>
            </w:r>
          </w:p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урочище Остреч</w:t>
            </w:r>
          </w:p>
        </w:tc>
        <w:tc>
          <w:tcPr>
            <w:tcW w:w="2700" w:type="dxa"/>
            <w:shd w:val="clear" w:color="000000" w:fill="auto"/>
          </w:tcPr>
          <w:p w:rsidR="00B16503" w:rsidRPr="00411851" w:rsidRDefault="00B16503" w:rsidP="00411851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тел.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(04644)2-14-12, 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факс</w:t>
            </w:r>
            <w:r w:rsidRPr="004118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(04644)2-14-00</w:t>
            </w:r>
          </w:p>
        </w:tc>
      </w:tr>
    </w:tbl>
    <w:p w:rsidR="00B16503" w:rsidRPr="00C81203" w:rsidRDefault="00B16503" w:rsidP="00017550">
      <w:pPr>
        <w:pStyle w:val="90"/>
        <w:shd w:val="clear" w:color="auto" w:fill="auto"/>
        <w:spacing w:after="0" w:line="240" w:lineRule="auto"/>
        <w:ind w:right="60"/>
        <w:rPr>
          <w:rStyle w:val="9"/>
          <w:color w:val="000000"/>
          <w:sz w:val="24"/>
          <w:szCs w:val="24"/>
          <w:lang w:val="uk-UA" w:eastAsia="uk-UA"/>
        </w:rPr>
      </w:pPr>
    </w:p>
    <w:sectPr w:rsidR="00B16503" w:rsidRPr="00C81203" w:rsidSect="00367C7E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42F8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18AE7195"/>
    <w:multiLevelType w:val="hybridMultilevel"/>
    <w:tmpl w:val="449ED040"/>
    <w:lvl w:ilvl="0" w:tplc="53847776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A8041D"/>
    <w:multiLevelType w:val="hybridMultilevel"/>
    <w:tmpl w:val="1DCE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F4558"/>
    <w:multiLevelType w:val="hybridMultilevel"/>
    <w:tmpl w:val="E4F04A66"/>
    <w:lvl w:ilvl="0" w:tplc="ECFE5FC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C6C36CF"/>
    <w:multiLevelType w:val="hybridMultilevel"/>
    <w:tmpl w:val="CB56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FAD"/>
    <w:rsid w:val="00017550"/>
    <w:rsid w:val="0004310A"/>
    <w:rsid w:val="000D517D"/>
    <w:rsid w:val="000D7E5B"/>
    <w:rsid w:val="001267A8"/>
    <w:rsid w:val="001321D6"/>
    <w:rsid w:val="00155CAB"/>
    <w:rsid w:val="001923CC"/>
    <w:rsid w:val="0019480D"/>
    <w:rsid w:val="001A20A0"/>
    <w:rsid w:val="00220490"/>
    <w:rsid w:val="00296280"/>
    <w:rsid w:val="002A2616"/>
    <w:rsid w:val="002C4959"/>
    <w:rsid w:val="00342827"/>
    <w:rsid w:val="00366763"/>
    <w:rsid w:val="00367C7E"/>
    <w:rsid w:val="003C196F"/>
    <w:rsid w:val="00411851"/>
    <w:rsid w:val="00427616"/>
    <w:rsid w:val="004863AA"/>
    <w:rsid w:val="004B1A91"/>
    <w:rsid w:val="0059004D"/>
    <w:rsid w:val="005C0CFF"/>
    <w:rsid w:val="00634B5E"/>
    <w:rsid w:val="006D444A"/>
    <w:rsid w:val="006F7B26"/>
    <w:rsid w:val="00713264"/>
    <w:rsid w:val="0084466F"/>
    <w:rsid w:val="008711BD"/>
    <w:rsid w:val="009418C7"/>
    <w:rsid w:val="00965DD6"/>
    <w:rsid w:val="009A436A"/>
    <w:rsid w:val="009A48D5"/>
    <w:rsid w:val="009A5348"/>
    <w:rsid w:val="009C77A8"/>
    <w:rsid w:val="00A3026B"/>
    <w:rsid w:val="00A44400"/>
    <w:rsid w:val="00B16503"/>
    <w:rsid w:val="00B40743"/>
    <w:rsid w:val="00BD4B23"/>
    <w:rsid w:val="00C04B4D"/>
    <w:rsid w:val="00C104ED"/>
    <w:rsid w:val="00C14227"/>
    <w:rsid w:val="00C81203"/>
    <w:rsid w:val="00CA274D"/>
    <w:rsid w:val="00D77FAD"/>
    <w:rsid w:val="00D900DB"/>
    <w:rsid w:val="00DD002D"/>
    <w:rsid w:val="00E02306"/>
    <w:rsid w:val="00E95E4C"/>
    <w:rsid w:val="00EA6B43"/>
    <w:rsid w:val="00F12CFF"/>
    <w:rsid w:val="00F2385B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AD"/>
    <w:pPr>
      <w:suppressAutoHyphens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7FAD"/>
    <w:rPr>
      <w:lang w:val="ru-RU"/>
    </w:rPr>
  </w:style>
  <w:style w:type="paragraph" w:customStyle="1" w:styleId="21">
    <w:name w:val="Основной текст с отступом 21"/>
    <w:basedOn w:val="Normal"/>
    <w:uiPriority w:val="99"/>
    <w:rsid w:val="00D77FAD"/>
    <w:pPr>
      <w:ind w:firstLine="709"/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rsid w:val="002962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17550"/>
    <w:pPr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7550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1755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2"/>
    <w:uiPriority w:val="99"/>
    <w:locked/>
    <w:rsid w:val="00017550"/>
    <w:rPr>
      <w:rFonts w:ascii="Lucida Sans Unicode" w:hAnsi="Lucida Sans Unicode" w:cs="Lucida Sans Unicode"/>
      <w:spacing w:val="-6"/>
      <w:sz w:val="15"/>
      <w:szCs w:val="1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17550"/>
    <w:pPr>
      <w:widowControl w:val="0"/>
      <w:shd w:val="clear" w:color="auto" w:fill="FFFFFF"/>
      <w:suppressAutoHyphens w:val="0"/>
      <w:spacing w:before="240" w:after="180" w:line="211" w:lineRule="exact"/>
      <w:jc w:val="both"/>
    </w:pPr>
    <w:rPr>
      <w:rFonts w:ascii="Lucida Sans Unicode" w:eastAsia="Calibri" w:hAnsi="Lucida Sans Unicode" w:cs="Lucida Sans Unicode"/>
      <w:spacing w:val="-6"/>
      <w:sz w:val="15"/>
      <w:szCs w:val="15"/>
      <w:lang w:val="ru-RU" w:eastAsia="en-US"/>
    </w:rPr>
  </w:style>
  <w:style w:type="character" w:styleId="Hyperlink">
    <w:name w:val="Hyperlink"/>
    <w:basedOn w:val="DefaultParagraphFont"/>
    <w:uiPriority w:val="99"/>
    <w:rsid w:val="0001755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17550"/>
    <w:pPr>
      <w:suppressAutoHyphens w:val="0"/>
      <w:spacing w:after="120"/>
    </w:pPr>
    <w:rPr>
      <w:rFonts w:ascii="Arial" w:hAnsi="Arial" w:cs="Arial"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7550"/>
    <w:rPr>
      <w:rFonts w:ascii="Arial" w:hAnsi="Arial" w:cs="Arial"/>
      <w:sz w:val="28"/>
      <w:szCs w:val="28"/>
      <w:lang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017550"/>
    <w:rPr>
      <w:rFonts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017550"/>
    <w:pPr>
      <w:widowControl w:val="0"/>
      <w:shd w:val="clear" w:color="auto" w:fill="FFFFFF"/>
      <w:suppressAutoHyphens w:val="0"/>
      <w:spacing w:before="120" w:line="240" w:lineRule="atLeast"/>
      <w:jc w:val="right"/>
    </w:pPr>
    <w:rPr>
      <w:rFonts w:ascii="Calibri" w:eastAsia="Calibri" w:hAnsi="Calibri"/>
      <w:sz w:val="17"/>
      <w:szCs w:val="17"/>
      <w:lang w:val="ru-RU" w:eastAsia="en-US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017550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a"/>
    <w:uiPriority w:val="99"/>
    <w:rsid w:val="00017550"/>
    <w:rPr>
      <w:rFonts w:ascii="Times New Roman" w:hAnsi="Times New Roman" w:cs="Times New Roman"/>
      <w:sz w:val="18"/>
      <w:szCs w:val="18"/>
      <w:u w:val="none"/>
    </w:rPr>
  </w:style>
  <w:style w:type="character" w:customStyle="1" w:styleId="20">
    <w:name w:val="Основной текст + Курсив2"/>
    <w:basedOn w:val="a"/>
    <w:uiPriority w:val="99"/>
    <w:rsid w:val="0001755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0">
    <w:name w:val="Основной текст + 10"/>
    <w:aliases w:val="5 pt7"/>
    <w:basedOn w:val="a"/>
    <w:uiPriority w:val="99"/>
    <w:rsid w:val="00017550"/>
    <w:rPr>
      <w:rFonts w:ascii="Times New Roman" w:hAnsi="Times New Roman" w:cs="Times New Roman"/>
      <w:sz w:val="21"/>
      <w:szCs w:val="21"/>
      <w:u w:val="none"/>
    </w:rPr>
  </w:style>
  <w:style w:type="character" w:customStyle="1" w:styleId="8">
    <w:name w:val="Основной текст + 8"/>
    <w:aliases w:val="5 pt6"/>
    <w:basedOn w:val="a"/>
    <w:uiPriority w:val="99"/>
    <w:rsid w:val="00017550"/>
    <w:rPr>
      <w:rFonts w:ascii="Times New Roman" w:hAnsi="Times New Roman" w:cs="Times New Roman"/>
      <w:sz w:val="17"/>
      <w:szCs w:val="17"/>
      <w:u w:val="none"/>
    </w:rPr>
  </w:style>
  <w:style w:type="character" w:customStyle="1" w:styleId="83">
    <w:name w:val="Основной текст + 83"/>
    <w:aliases w:val="5 pt5"/>
    <w:basedOn w:val="a"/>
    <w:uiPriority w:val="99"/>
    <w:rsid w:val="00017550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82">
    <w:name w:val="Основной текст + 82"/>
    <w:aliases w:val="5 pt4"/>
    <w:basedOn w:val="a"/>
    <w:uiPriority w:val="99"/>
    <w:rsid w:val="00017550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paragraph" w:customStyle="1" w:styleId="90">
    <w:name w:val="Основной текст (9)"/>
    <w:basedOn w:val="Normal"/>
    <w:link w:val="9"/>
    <w:uiPriority w:val="99"/>
    <w:rsid w:val="00017550"/>
    <w:pPr>
      <w:widowControl w:val="0"/>
      <w:shd w:val="clear" w:color="auto" w:fill="FFFFFF"/>
      <w:suppressAutoHyphens w:val="0"/>
      <w:spacing w:after="60" w:line="223" w:lineRule="exact"/>
      <w:jc w:val="center"/>
    </w:pPr>
    <w:rPr>
      <w:rFonts w:ascii="Calibri" w:eastAsia="Calibri" w:hAnsi="Calibri"/>
      <w:b/>
      <w:bCs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spc.ai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yarka.cspr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kiv.cspr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rodyanka.cspr.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rosten.cspr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4</Pages>
  <Words>1541</Words>
  <Characters>8786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Вікторович</cp:lastModifiedBy>
  <cp:revision>9</cp:revision>
  <cp:lastPrinted>2015-12-29T08:52:00Z</cp:lastPrinted>
  <dcterms:created xsi:type="dcterms:W3CDTF">2015-12-15T06:36:00Z</dcterms:created>
  <dcterms:modified xsi:type="dcterms:W3CDTF">2015-12-29T08:53:00Z</dcterms:modified>
</cp:coreProperties>
</file>